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4C57B" w14:textId="5DE91D0F" w:rsidR="00185B3B" w:rsidRPr="00185B3B" w:rsidRDefault="00185B3B" w:rsidP="000D46E1">
      <w:pPr>
        <w:spacing w:after="0" w:line="276" w:lineRule="auto"/>
        <w:jc w:val="both"/>
        <w:rPr>
          <w:rFonts w:ascii="Times New Roman" w:eastAsia="Times New Roman" w:hAnsi="Times New Roman" w:cs="Times New Roman"/>
          <w:color w:val="191919"/>
          <w:kern w:val="0"/>
          <w:sz w:val="22"/>
          <w:szCs w:val="22"/>
          <w:lang w:eastAsia="pl-PL"/>
          <w14:ligatures w14:val="none"/>
        </w:rPr>
      </w:pPr>
      <w:r w:rsidRPr="00185B3B">
        <w:rPr>
          <w:rFonts w:ascii="Times New Roman" w:eastAsia="Times New Roman" w:hAnsi="Times New Roman" w:cs="Times New Roman"/>
          <w:color w:val="191919"/>
          <w:kern w:val="0"/>
          <w:sz w:val="22"/>
          <w:szCs w:val="22"/>
          <w:lang w:eastAsia="pl-PL"/>
          <w14:ligatures w14:val="none"/>
        </w:rPr>
        <w:t>Numer sprawy: PCUW.261.3.1.2024</w:t>
      </w:r>
    </w:p>
    <w:p w14:paraId="75CE0032" w14:textId="4128D6AF" w:rsidR="00C150D9" w:rsidRPr="00C150D9" w:rsidRDefault="00185B3B" w:rsidP="00DD7CC4">
      <w:pPr>
        <w:spacing w:after="0" w:line="276" w:lineRule="auto"/>
        <w:jc w:val="right"/>
        <w:rPr>
          <w:rFonts w:ascii="Times New Roman" w:eastAsia="Times New Roman" w:hAnsi="Times New Roman" w:cs="Times New Roman"/>
          <w:color w:val="191919"/>
          <w:kern w:val="0"/>
          <w:sz w:val="22"/>
          <w:szCs w:val="22"/>
          <w:lang w:eastAsia="pl-PL"/>
          <w14:ligatures w14:val="none"/>
        </w:rPr>
      </w:pPr>
      <w:r w:rsidRPr="00185B3B">
        <w:rPr>
          <w:rFonts w:ascii="Times New Roman" w:eastAsia="Times New Roman" w:hAnsi="Times New Roman" w:cs="Times New Roman"/>
          <w:color w:val="191919"/>
          <w:kern w:val="0"/>
          <w:sz w:val="22"/>
          <w:szCs w:val="22"/>
          <w:lang w:eastAsia="pl-PL"/>
          <w14:ligatures w14:val="none"/>
        </w:rPr>
        <w:t>Rawicz</w:t>
      </w:r>
      <w:r w:rsidR="00C150D9" w:rsidRPr="00C150D9">
        <w:rPr>
          <w:rFonts w:ascii="Times New Roman" w:eastAsia="Times New Roman" w:hAnsi="Times New Roman" w:cs="Times New Roman"/>
          <w:color w:val="191919"/>
          <w:kern w:val="0"/>
          <w:sz w:val="22"/>
          <w:szCs w:val="22"/>
          <w:lang w:eastAsia="pl-PL"/>
          <w14:ligatures w14:val="none"/>
        </w:rPr>
        <w:t xml:space="preserve">, </w:t>
      </w:r>
      <w:r w:rsidR="00C150D9" w:rsidRPr="00BE6B36">
        <w:rPr>
          <w:rFonts w:ascii="Times New Roman" w:eastAsia="Times New Roman" w:hAnsi="Times New Roman" w:cs="Times New Roman"/>
          <w:color w:val="191919"/>
          <w:kern w:val="0"/>
          <w:sz w:val="22"/>
          <w:szCs w:val="22"/>
          <w:lang w:eastAsia="pl-PL"/>
          <w14:ligatures w14:val="none"/>
        </w:rPr>
        <w:t xml:space="preserve">dnia </w:t>
      </w:r>
      <w:r w:rsidR="00BE6B36">
        <w:rPr>
          <w:rFonts w:ascii="Times New Roman" w:eastAsia="Times New Roman" w:hAnsi="Times New Roman" w:cs="Times New Roman"/>
          <w:color w:val="191919"/>
          <w:kern w:val="0"/>
          <w:sz w:val="22"/>
          <w:szCs w:val="22"/>
          <w:lang w:eastAsia="pl-PL"/>
          <w14:ligatures w14:val="none"/>
        </w:rPr>
        <w:t>02.10.</w:t>
      </w:r>
      <w:r w:rsidR="00C150D9" w:rsidRPr="00BE6B36">
        <w:rPr>
          <w:rFonts w:ascii="Times New Roman" w:eastAsia="Times New Roman" w:hAnsi="Times New Roman" w:cs="Times New Roman"/>
          <w:color w:val="191919"/>
          <w:kern w:val="0"/>
          <w:sz w:val="22"/>
          <w:szCs w:val="22"/>
          <w:lang w:eastAsia="pl-PL"/>
          <w14:ligatures w14:val="none"/>
        </w:rPr>
        <w:t>2024</w:t>
      </w:r>
      <w:r w:rsidR="00C150D9" w:rsidRPr="00C150D9">
        <w:rPr>
          <w:rFonts w:ascii="Times New Roman" w:eastAsia="Times New Roman" w:hAnsi="Times New Roman" w:cs="Times New Roman"/>
          <w:color w:val="191919"/>
          <w:kern w:val="0"/>
          <w:sz w:val="22"/>
          <w:szCs w:val="22"/>
          <w:lang w:eastAsia="pl-PL"/>
          <w14:ligatures w14:val="none"/>
        </w:rPr>
        <w:t xml:space="preserve"> r.</w:t>
      </w:r>
    </w:p>
    <w:p w14:paraId="7AEA79B8" w14:textId="77777777" w:rsidR="00C150D9" w:rsidRPr="00C150D9" w:rsidRDefault="00C150D9" w:rsidP="000D46E1">
      <w:pPr>
        <w:spacing w:after="0" w:line="276" w:lineRule="auto"/>
        <w:ind w:left="4248" w:firstLine="708"/>
        <w:jc w:val="both"/>
        <w:rPr>
          <w:rFonts w:ascii="Times New Roman" w:eastAsia="Times New Roman" w:hAnsi="Times New Roman" w:cs="Times New Roman"/>
          <w:color w:val="191919"/>
          <w:kern w:val="0"/>
          <w:sz w:val="22"/>
          <w:szCs w:val="22"/>
          <w:lang w:eastAsia="pl-PL"/>
          <w14:ligatures w14:val="none"/>
        </w:rPr>
      </w:pPr>
    </w:p>
    <w:p w14:paraId="104C75EB" w14:textId="77777777" w:rsidR="00C150D9" w:rsidRPr="00C150D9" w:rsidRDefault="00C150D9" w:rsidP="000D46E1">
      <w:pPr>
        <w:spacing w:after="0" w:line="276" w:lineRule="auto"/>
        <w:ind w:left="4248" w:firstLine="708"/>
        <w:jc w:val="both"/>
        <w:rPr>
          <w:rFonts w:ascii="Times New Roman" w:eastAsia="Times New Roman" w:hAnsi="Times New Roman" w:cs="Times New Roman"/>
          <w:color w:val="191919"/>
          <w:kern w:val="0"/>
          <w:sz w:val="22"/>
          <w:szCs w:val="22"/>
          <w:lang w:eastAsia="pl-PL"/>
          <w14:ligatures w14:val="none"/>
        </w:rPr>
      </w:pPr>
    </w:p>
    <w:p w14:paraId="60546567" w14:textId="77777777" w:rsidR="00C150D9" w:rsidRPr="00C150D9" w:rsidRDefault="00C150D9" w:rsidP="000D46E1">
      <w:pPr>
        <w:spacing w:after="0" w:line="276" w:lineRule="auto"/>
        <w:ind w:left="4248" w:firstLine="708"/>
        <w:jc w:val="both"/>
        <w:rPr>
          <w:rFonts w:ascii="Times New Roman" w:eastAsia="Times New Roman" w:hAnsi="Times New Roman" w:cs="Times New Roman"/>
          <w:color w:val="191919"/>
          <w:kern w:val="0"/>
          <w:sz w:val="22"/>
          <w:szCs w:val="22"/>
          <w:lang w:eastAsia="pl-PL"/>
          <w14:ligatures w14:val="none"/>
        </w:rPr>
      </w:pPr>
    </w:p>
    <w:p w14:paraId="20C300A1" w14:textId="77777777" w:rsidR="00C150D9" w:rsidRPr="00C150D9" w:rsidRDefault="00C150D9" w:rsidP="000D46E1">
      <w:pPr>
        <w:spacing w:after="0" w:line="276" w:lineRule="auto"/>
        <w:ind w:left="4248" w:firstLine="708"/>
        <w:jc w:val="both"/>
        <w:rPr>
          <w:rFonts w:ascii="Times New Roman" w:eastAsia="Times New Roman" w:hAnsi="Times New Roman" w:cs="Times New Roman"/>
          <w:color w:val="191919"/>
          <w:kern w:val="0"/>
          <w:sz w:val="22"/>
          <w:szCs w:val="22"/>
          <w:lang w:eastAsia="pl-PL"/>
          <w14:ligatures w14:val="none"/>
        </w:rPr>
      </w:pPr>
      <w:r w:rsidRPr="00C150D9">
        <w:rPr>
          <w:rFonts w:ascii="Times New Roman" w:eastAsia="Times New Roman" w:hAnsi="Times New Roman" w:cs="Times New Roman"/>
          <w:color w:val="191919"/>
          <w:kern w:val="0"/>
          <w:sz w:val="22"/>
          <w:szCs w:val="22"/>
          <w:lang w:eastAsia="pl-PL"/>
          <w14:ligatures w14:val="none"/>
        </w:rPr>
        <w:t xml:space="preserve">Do wszystkich Wykonawców </w:t>
      </w:r>
    </w:p>
    <w:p w14:paraId="73FBDCA7" w14:textId="77777777" w:rsidR="00C150D9" w:rsidRPr="00C150D9" w:rsidRDefault="00C150D9" w:rsidP="000D46E1">
      <w:pPr>
        <w:spacing w:after="0" w:line="276" w:lineRule="auto"/>
        <w:ind w:left="4248" w:firstLine="708"/>
        <w:jc w:val="both"/>
        <w:rPr>
          <w:rFonts w:ascii="Times New Roman" w:eastAsia="Times New Roman" w:hAnsi="Times New Roman" w:cs="Times New Roman"/>
          <w:color w:val="191919"/>
          <w:kern w:val="0"/>
          <w:sz w:val="22"/>
          <w:szCs w:val="22"/>
          <w:lang w:eastAsia="pl-PL"/>
          <w14:ligatures w14:val="none"/>
        </w:rPr>
      </w:pPr>
    </w:p>
    <w:p w14:paraId="204CED67" w14:textId="77777777" w:rsidR="00C150D9" w:rsidRPr="00C150D9" w:rsidRDefault="00C150D9" w:rsidP="000D46E1">
      <w:pPr>
        <w:spacing w:after="0" w:line="276" w:lineRule="auto"/>
        <w:ind w:left="4248" w:firstLine="708"/>
        <w:jc w:val="both"/>
        <w:rPr>
          <w:rFonts w:ascii="Times New Roman" w:eastAsia="Times New Roman" w:hAnsi="Times New Roman" w:cs="Times New Roman"/>
          <w:color w:val="191919"/>
          <w:kern w:val="0"/>
          <w:sz w:val="22"/>
          <w:szCs w:val="22"/>
          <w:lang w:eastAsia="pl-PL"/>
          <w14:ligatures w14:val="none"/>
        </w:rPr>
      </w:pPr>
    </w:p>
    <w:p w14:paraId="423C5046" w14:textId="77777777" w:rsidR="00C150D9" w:rsidRPr="00C150D9" w:rsidRDefault="00C150D9" w:rsidP="000D46E1">
      <w:pPr>
        <w:spacing w:after="0" w:line="276" w:lineRule="auto"/>
        <w:ind w:left="3686" w:hanging="284"/>
        <w:jc w:val="both"/>
        <w:rPr>
          <w:rFonts w:ascii="Times New Roman" w:eastAsia="Times New Roman" w:hAnsi="Times New Roman" w:cs="Times New Roman"/>
          <w:b/>
          <w:bCs/>
          <w:color w:val="191919"/>
          <w:kern w:val="0"/>
          <w:sz w:val="22"/>
          <w:szCs w:val="22"/>
          <w:lang w:eastAsia="pl-PL"/>
          <w14:ligatures w14:val="none"/>
        </w:rPr>
      </w:pPr>
      <w:r w:rsidRPr="00C150D9">
        <w:rPr>
          <w:rFonts w:ascii="Times New Roman" w:eastAsia="Times New Roman" w:hAnsi="Times New Roman" w:cs="Times New Roman"/>
          <w:b/>
          <w:bCs/>
          <w:color w:val="191919"/>
          <w:kern w:val="0"/>
          <w:sz w:val="22"/>
          <w:szCs w:val="22"/>
          <w:lang w:eastAsia="pl-PL"/>
          <w14:ligatures w14:val="none"/>
        </w:rPr>
        <w:t xml:space="preserve">WYJAŚNIENIA TREŚCI SWZ </w:t>
      </w:r>
    </w:p>
    <w:p w14:paraId="1EE06EB0" w14:textId="77777777" w:rsidR="00C150D9" w:rsidRPr="00C150D9" w:rsidRDefault="00C150D9" w:rsidP="000D46E1">
      <w:pPr>
        <w:autoSpaceDE w:val="0"/>
        <w:autoSpaceDN w:val="0"/>
        <w:adjustRightInd w:val="0"/>
        <w:spacing w:after="0" w:line="276" w:lineRule="auto"/>
        <w:jc w:val="both"/>
        <w:rPr>
          <w:rFonts w:ascii="Times New Roman" w:eastAsia="Times New Roman" w:hAnsi="Times New Roman" w:cs="Times New Roman"/>
          <w:color w:val="191919"/>
          <w:kern w:val="0"/>
          <w:sz w:val="22"/>
          <w:szCs w:val="22"/>
          <w:lang w:eastAsia="pl-PL"/>
          <w14:ligatures w14:val="none"/>
        </w:rPr>
      </w:pPr>
    </w:p>
    <w:p w14:paraId="170EB38F" w14:textId="2E00C11F" w:rsidR="00185B3B" w:rsidRPr="00185B3B" w:rsidRDefault="00185B3B" w:rsidP="000D46E1">
      <w:pPr>
        <w:autoSpaceDE w:val="0"/>
        <w:autoSpaceDN w:val="0"/>
        <w:adjustRightInd w:val="0"/>
        <w:spacing w:line="276" w:lineRule="auto"/>
        <w:jc w:val="both"/>
        <w:rPr>
          <w:rFonts w:ascii="Times New Roman" w:hAnsi="Times New Roman" w:cs="Times New Roman"/>
          <w:sz w:val="22"/>
          <w:szCs w:val="22"/>
        </w:rPr>
      </w:pPr>
      <w:r w:rsidRPr="00185B3B">
        <w:rPr>
          <w:rFonts w:ascii="Times New Roman" w:hAnsi="Times New Roman" w:cs="Times New Roman"/>
          <w:sz w:val="22"/>
          <w:szCs w:val="22"/>
        </w:rPr>
        <w:t xml:space="preserve">Na podstawie art. 135 ust. 6 Ustawy Prawo zamówień publicznych z dnia 11 września 2019 roku (dalej </w:t>
      </w:r>
      <w:proofErr w:type="spellStart"/>
      <w:r w:rsidRPr="00185B3B">
        <w:rPr>
          <w:rFonts w:ascii="Times New Roman" w:hAnsi="Times New Roman" w:cs="Times New Roman"/>
          <w:sz w:val="22"/>
          <w:szCs w:val="22"/>
        </w:rPr>
        <w:t>Pzp</w:t>
      </w:r>
      <w:proofErr w:type="spellEnd"/>
      <w:r w:rsidRPr="00185B3B">
        <w:rPr>
          <w:rFonts w:ascii="Times New Roman" w:hAnsi="Times New Roman" w:cs="Times New Roman"/>
          <w:sz w:val="22"/>
          <w:szCs w:val="22"/>
        </w:rPr>
        <w:t xml:space="preserve">) Zamawiający przekazuje treść pytań, które wpłynęły w związku z prowadzonym postępowaniem o udzielenie zamówienia klasycznego prowadzonego w trybie przetargu nieograniczonego o wartości zamówienia równej progowi unijnemu lub większej pn.: „Kompleksowa dostawa gazu ziemnego zaazotowanego (grupa </w:t>
      </w:r>
      <w:proofErr w:type="spellStart"/>
      <w:r w:rsidRPr="00185B3B">
        <w:rPr>
          <w:rFonts w:ascii="Times New Roman" w:hAnsi="Times New Roman" w:cs="Times New Roman"/>
          <w:sz w:val="22"/>
          <w:szCs w:val="22"/>
        </w:rPr>
        <w:t>Lw</w:t>
      </w:r>
      <w:proofErr w:type="spellEnd"/>
      <w:r w:rsidRPr="00185B3B">
        <w:rPr>
          <w:rFonts w:ascii="Times New Roman" w:hAnsi="Times New Roman" w:cs="Times New Roman"/>
          <w:sz w:val="22"/>
          <w:szCs w:val="22"/>
        </w:rPr>
        <w:t>)  oraz gazu ziemnego wysokometanowego (grupa E) dla Powiatu Rawickiego i jego jednostek organizacyjnych na okres od 01.01.2025 r. do 31.12.2025 r." wraz z odpowiedziami.</w:t>
      </w:r>
    </w:p>
    <w:p w14:paraId="31D6B09A" w14:textId="2C9A1ABF" w:rsidR="00AC3A7B" w:rsidRPr="00185B3B" w:rsidRDefault="00AC3A7B" w:rsidP="000D46E1">
      <w:pPr>
        <w:pStyle w:val="Akapitzlist"/>
        <w:numPr>
          <w:ilvl w:val="0"/>
          <w:numId w:val="3"/>
        </w:num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185B3B">
        <w:rPr>
          <w:rFonts w:ascii="Times New Roman" w:eastAsia="Times New Roman" w:hAnsi="Times New Roman" w:cs="Times New Roman"/>
          <w:kern w:val="0"/>
          <w:sz w:val="22"/>
          <w:szCs w:val="22"/>
          <w:lang w:eastAsia="pl-PL"/>
          <w14:ligatures w14:val="none"/>
        </w:rPr>
        <w:t>Na podstawie art. 220 oraz art. 307 Ustawy PZP, które mówią o maksymalnych terminach związania z ofertą, Wykonawca wnosi o skrócenie terminu związania ofertą do 30 dni kalendarzowych od daty otwarcia ofert. Dynamiczne zmiany ceny paliwa gazowego na Towarowej Giełdzie Energii oraz długi okres związania ofertą, wiąże się dla Wykonawcy z dużym ryzkiem wynikającym z utrzymania zaoferowanej ceny paliwa gazowego w okresie związania ofertą  i poniesienia ewentualnej straty z tego tytułu.</w:t>
      </w:r>
    </w:p>
    <w:p w14:paraId="03B80750" w14:textId="027DF5AB" w:rsidR="008D3561" w:rsidRDefault="00032BC2" w:rsidP="000D46E1">
      <w:pPr>
        <w:pStyle w:val="Akapitzlist"/>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r w:rsidRPr="00185B3B">
        <w:rPr>
          <w:rFonts w:ascii="Times New Roman" w:eastAsia="Times New Roman" w:hAnsi="Times New Roman" w:cs="Times New Roman"/>
          <w:kern w:val="0"/>
          <w:sz w:val="22"/>
          <w:szCs w:val="22"/>
          <w:lang w:eastAsia="pl-PL"/>
          <w14:ligatures w14:val="none"/>
        </w:rPr>
        <w:t>Odpowiedź na pytanie nr 1:</w:t>
      </w:r>
      <w:r w:rsidR="000D46E1">
        <w:rPr>
          <w:rFonts w:ascii="Times New Roman" w:eastAsia="Times New Roman" w:hAnsi="Times New Roman" w:cs="Times New Roman"/>
          <w:kern w:val="0"/>
          <w:sz w:val="22"/>
          <w:szCs w:val="22"/>
          <w:lang w:eastAsia="pl-PL"/>
          <w14:ligatures w14:val="none"/>
        </w:rPr>
        <w:t xml:space="preserve"> </w:t>
      </w:r>
      <w:r w:rsidR="008D3561" w:rsidRPr="00185B3B">
        <w:rPr>
          <w:rFonts w:ascii="Times New Roman" w:eastAsia="Times New Roman" w:hAnsi="Times New Roman" w:cs="Times New Roman"/>
          <w:kern w:val="0"/>
          <w:sz w:val="22"/>
          <w:szCs w:val="22"/>
          <w:lang w:eastAsia="pl-PL"/>
          <w14:ligatures w14:val="none"/>
        </w:rPr>
        <w:t xml:space="preserve">Zamawiający informuje, że art. 307 ustawy </w:t>
      </w:r>
      <w:proofErr w:type="spellStart"/>
      <w:r w:rsidR="008D3561" w:rsidRPr="00185B3B">
        <w:rPr>
          <w:rFonts w:ascii="Times New Roman" w:eastAsia="Times New Roman" w:hAnsi="Times New Roman" w:cs="Times New Roman"/>
          <w:kern w:val="0"/>
          <w:sz w:val="22"/>
          <w:szCs w:val="22"/>
          <w:lang w:eastAsia="pl-PL"/>
          <w14:ligatures w14:val="none"/>
        </w:rPr>
        <w:t>Pzp</w:t>
      </w:r>
      <w:proofErr w:type="spellEnd"/>
      <w:r w:rsidR="008D3561" w:rsidRPr="00185B3B">
        <w:rPr>
          <w:rFonts w:ascii="Times New Roman" w:eastAsia="Times New Roman" w:hAnsi="Times New Roman" w:cs="Times New Roman"/>
          <w:kern w:val="0"/>
          <w:sz w:val="22"/>
          <w:szCs w:val="22"/>
          <w:lang w:eastAsia="pl-PL"/>
          <w14:ligatures w14:val="none"/>
        </w:rPr>
        <w:t xml:space="preserve"> dotyczy </w:t>
      </w:r>
      <w:r w:rsidR="00185B3B">
        <w:rPr>
          <w:rFonts w:ascii="Times New Roman" w:eastAsia="Times New Roman" w:hAnsi="Times New Roman" w:cs="Times New Roman"/>
          <w:kern w:val="0"/>
          <w:sz w:val="22"/>
          <w:szCs w:val="22"/>
          <w:lang w:eastAsia="pl-PL"/>
          <w14:ligatures w14:val="none"/>
        </w:rPr>
        <w:t xml:space="preserve">postępowań </w:t>
      </w:r>
      <w:r w:rsidR="008D3561" w:rsidRPr="00185B3B">
        <w:rPr>
          <w:rFonts w:ascii="Times New Roman" w:eastAsia="Times New Roman" w:hAnsi="Times New Roman" w:cs="Times New Roman"/>
          <w:kern w:val="0"/>
          <w:sz w:val="22"/>
          <w:szCs w:val="22"/>
          <w:lang w:eastAsia="pl-PL"/>
          <w14:ligatures w14:val="none"/>
        </w:rPr>
        <w:t xml:space="preserve">o wartości mniejszej niż progi unijne (art. 275 </w:t>
      </w:r>
      <w:proofErr w:type="spellStart"/>
      <w:r w:rsidR="008D3561" w:rsidRPr="00185B3B">
        <w:rPr>
          <w:rFonts w:ascii="Times New Roman" w:eastAsia="Times New Roman" w:hAnsi="Times New Roman" w:cs="Times New Roman"/>
          <w:kern w:val="0"/>
          <w:sz w:val="22"/>
          <w:szCs w:val="22"/>
          <w:lang w:eastAsia="pl-PL"/>
          <w14:ligatures w14:val="none"/>
        </w:rPr>
        <w:t>Pzp</w:t>
      </w:r>
      <w:proofErr w:type="spellEnd"/>
      <w:r w:rsidR="008D3561" w:rsidRPr="00185B3B">
        <w:rPr>
          <w:rFonts w:ascii="Times New Roman" w:eastAsia="Times New Roman" w:hAnsi="Times New Roman" w:cs="Times New Roman"/>
          <w:kern w:val="0"/>
          <w:sz w:val="22"/>
          <w:szCs w:val="22"/>
          <w:lang w:eastAsia="pl-PL"/>
          <w14:ligatures w14:val="none"/>
        </w:rPr>
        <w:t xml:space="preserve">), natomiast niniejsze postępowanie prowadzone jest </w:t>
      </w:r>
      <w:r w:rsidR="009D69D1" w:rsidRPr="009D69D1">
        <w:rPr>
          <w:rFonts w:ascii="Times New Roman" w:eastAsia="Times New Roman" w:hAnsi="Times New Roman" w:cs="Times New Roman"/>
          <w:kern w:val="0"/>
          <w:sz w:val="22"/>
          <w:szCs w:val="22"/>
          <w:lang w:eastAsia="pl-PL"/>
          <w14:ligatures w14:val="none"/>
        </w:rPr>
        <w:t>w trybie przetargu nieograniczonego o wartości zamówienia równej progowi unijnemu lub większej</w:t>
      </w:r>
      <w:r w:rsidR="000D46E1">
        <w:rPr>
          <w:rFonts w:ascii="Times New Roman" w:eastAsia="Times New Roman" w:hAnsi="Times New Roman" w:cs="Times New Roman"/>
          <w:kern w:val="0"/>
          <w:sz w:val="22"/>
          <w:szCs w:val="22"/>
          <w:lang w:eastAsia="pl-PL"/>
          <w14:ligatures w14:val="none"/>
        </w:rPr>
        <w:t xml:space="preserve"> (art. 132Pzp)</w:t>
      </w:r>
      <w:r w:rsidR="00C150D9" w:rsidRPr="00185B3B">
        <w:rPr>
          <w:rFonts w:ascii="Times New Roman" w:eastAsia="Times New Roman" w:hAnsi="Times New Roman" w:cs="Times New Roman"/>
          <w:kern w:val="0"/>
          <w:sz w:val="22"/>
          <w:szCs w:val="22"/>
          <w:lang w:eastAsia="pl-PL"/>
          <w14:ligatures w14:val="none"/>
        </w:rPr>
        <w:t xml:space="preserve">, do którego ma zastosowanie art. 220 </w:t>
      </w:r>
      <w:r w:rsidR="000D46E1">
        <w:rPr>
          <w:rFonts w:ascii="Times New Roman" w:eastAsia="Times New Roman" w:hAnsi="Times New Roman" w:cs="Times New Roman"/>
          <w:kern w:val="0"/>
          <w:sz w:val="22"/>
          <w:szCs w:val="22"/>
          <w:lang w:eastAsia="pl-PL"/>
          <w14:ligatures w14:val="none"/>
        </w:rPr>
        <w:t xml:space="preserve">ustawy </w:t>
      </w:r>
      <w:proofErr w:type="spellStart"/>
      <w:r w:rsidR="000D46E1">
        <w:rPr>
          <w:rFonts w:ascii="Times New Roman" w:eastAsia="Times New Roman" w:hAnsi="Times New Roman" w:cs="Times New Roman"/>
          <w:kern w:val="0"/>
          <w:sz w:val="22"/>
          <w:szCs w:val="22"/>
          <w:lang w:eastAsia="pl-PL"/>
          <w14:ligatures w14:val="none"/>
        </w:rPr>
        <w:t>Pzp</w:t>
      </w:r>
      <w:proofErr w:type="spellEnd"/>
      <w:r w:rsidR="00C150D9" w:rsidRPr="00185B3B">
        <w:rPr>
          <w:rFonts w:ascii="Times New Roman" w:eastAsia="Times New Roman" w:hAnsi="Times New Roman" w:cs="Times New Roman"/>
          <w:kern w:val="0"/>
          <w:sz w:val="22"/>
          <w:szCs w:val="22"/>
          <w:lang w:eastAsia="pl-PL"/>
          <w14:ligatures w14:val="none"/>
        </w:rPr>
        <w:t>. Niemniej jednak w związku z tym, że 90 dni jest terminem maksymalnym, zamawiający wyraża zgodę na zmianę terminu związania ofertą do 30 dni zgodnie z wnioskiem wykonawcy.</w:t>
      </w:r>
    </w:p>
    <w:p w14:paraId="1F64F9B1" w14:textId="77777777" w:rsidR="009D69D1" w:rsidRPr="00185B3B" w:rsidRDefault="009D69D1" w:rsidP="000D46E1">
      <w:pPr>
        <w:pStyle w:val="Akapitzlist"/>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p>
    <w:p w14:paraId="1441D0C0" w14:textId="0033D5A0" w:rsidR="00AC3A7B" w:rsidRPr="009D69D1" w:rsidRDefault="00AC3A7B" w:rsidP="000D46E1">
      <w:pPr>
        <w:pStyle w:val="Akapitzlist"/>
        <w:numPr>
          <w:ilvl w:val="0"/>
          <w:numId w:val="3"/>
        </w:numPr>
        <w:spacing w:before="100" w:beforeAutospacing="1" w:after="0" w:line="240" w:lineRule="auto"/>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Dotyczy projektowanych postanowień umowy, par. 6. Wykonawca wnosi o:</w:t>
      </w:r>
    </w:p>
    <w:p w14:paraId="3BF21032" w14:textId="77777777" w:rsidR="00AC3A7B" w:rsidRPr="00AC3A7B" w:rsidRDefault="00AC3A7B" w:rsidP="000D46E1">
      <w:pPr>
        <w:spacing w:after="0" w:line="240" w:lineRule="auto"/>
        <w:jc w:val="both"/>
        <w:rPr>
          <w:rFonts w:ascii="Times New Roman" w:eastAsia="Times New Roman" w:hAnsi="Times New Roman" w:cs="Times New Roman"/>
          <w:kern w:val="0"/>
          <w:sz w:val="22"/>
          <w:szCs w:val="22"/>
          <w:lang w:eastAsia="pl-PL"/>
          <w14:ligatures w14:val="none"/>
        </w:rPr>
      </w:pPr>
      <w:r w:rsidRPr="00AC3A7B">
        <w:rPr>
          <w:rFonts w:ascii="Times New Roman" w:eastAsia="Times New Roman" w:hAnsi="Times New Roman" w:cs="Times New Roman"/>
          <w:kern w:val="0"/>
          <w:sz w:val="22"/>
          <w:szCs w:val="22"/>
          <w:lang w:eastAsia="pl-PL"/>
          <w14:ligatures w14:val="none"/>
        </w:rPr>
        <w:t>- ust. 1 – zmniejszenie kary do 7%</w:t>
      </w:r>
    </w:p>
    <w:p w14:paraId="50641BB7" w14:textId="77777777" w:rsidR="00AC3A7B" w:rsidRPr="00AC3A7B" w:rsidRDefault="00AC3A7B" w:rsidP="000D46E1">
      <w:pPr>
        <w:spacing w:after="0" w:line="240" w:lineRule="auto"/>
        <w:jc w:val="both"/>
        <w:rPr>
          <w:rFonts w:ascii="Times New Roman" w:eastAsia="Times New Roman" w:hAnsi="Times New Roman" w:cs="Times New Roman"/>
          <w:kern w:val="0"/>
          <w:sz w:val="22"/>
          <w:szCs w:val="22"/>
          <w:lang w:eastAsia="pl-PL"/>
          <w14:ligatures w14:val="none"/>
        </w:rPr>
      </w:pPr>
      <w:r w:rsidRPr="00AC3A7B">
        <w:rPr>
          <w:rFonts w:ascii="Times New Roman" w:eastAsia="Times New Roman" w:hAnsi="Times New Roman" w:cs="Times New Roman"/>
          <w:kern w:val="0"/>
          <w:sz w:val="22"/>
          <w:szCs w:val="22"/>
          <w:lang w:eastAsia="pl-PL"/>
          <w14:ligatures w14:val="none"/>
        </w:rPr>
        <w:t>- ust. 2 – zmniejszenie kary do 1 000,00 zł</w:t>
      </w:r>
    </w:p>
    <w:p w14:paraId="308AB37A" w14:textId="77777777" w:rsidR="000D46E1" w:rsidRDefault="00AC3A7B" w:rsidP="000D46E1">
      <w:pPr>
        <w:spacing w:after="0" w:line="240" w:lineRule="auto"/>
        <w:jc w:val="both"/>
        <w:rPr>
          <w:rFonts w:ascii="Times New Roman" w:eastAsia="Times New Roman" w:hAnsi="Times New Roman" w:cs="Times New Roman"/>
          <w:kern w:val="0"/>
          <w:sz w:val="22"/>
          <w:szCs w:val="22"/>
          <w:lang w:eastAsia="pl-PL"/>
          <w14:ligatures w14:val="none"/>
        </w:rPr>
      </w:pPr>
      <w:r w:rsidRPr="00AC3A7B">
        <w:rPr>
          <w:rFonts w:ascii="Times New Roman" w:eastAsia="Times New Roman" w:hAnsi="Times New Roman" w:cs="Times New Roman"/>
          <w:kern w:val="0"/>
          <w:sz w:val="22"/>
          <w:szCs w:val="22"/>
          <w:lang w:eastAsia="pl-PL"/>
          <w14:ligatures w14:val="none"/>
        </w:rPr>
        <w:t>- ust. 5 – zmniejszenie kary do 10%</w:t>
      </w:r>
    </w:p>
    <w:p w14:paraId="1C9EA077" w14:textId="346C0F10" w:rsidR="00AC3A7B" w:rsidRDefault="00AC3A7B" w:rsidP="000D46E1">
      <w:pPr>
        <w:spacing w:after="0" w:line="240" w:lineRule="auto"/>
        <w:jc w:val="both"/>
        <w:rPr>
          <w:rFonts w:ascii="Times New Roman" w:eastAsia="Times New Roman" w:hAnsi="Times New Roman" w:cs="Times New Roman"/>
          <w:kern w:val="0"/>
          <w:sz w:val="22"/>
          <w:szCs w:val="22"/>
          <w:lang w:eastAsia="pl-PL"/>
          <w14:ligatures w14:val="none"/>
        </w:rPr>
      </w:pPr>
      <w:r w:rsidRPr="00185B3B">
        <w:rPr>
          <w:rFonts w:ascii="Times New Roman" w:eastAsia="Times New Roman" w:hAnsi="Times New Roman" w:cs="Times New Roman"/>
          <w:kern w:val="0"/>
          <w:sz w:val="22"/>
          <w:szCs w:val="22"/>
          <w:lang w:eastAsia="pl-PL"/>
          <w14:ligatures w14:val="none"/>
        </w:rPr>
        <w:t>Odpowiedź na pytanie nr 2: Zamawiający jako podmiot publiczny wydatkujący środki publiczne jest zobowiązany do zabezpieczenia umowy poprzez między innymi określenie kar umownych. Zamawiający nie wyraża zgody na wykreślenie kar umownych. Kary umowne służą do należytego wykonania umowy i nie będą miały miejsca, w przypadku jej należytego wykonania. Wg oceny zamawiającego wysokość kary określona przez zamawiającego nie jest wygórowania, w związku z tym pozostawia wysokość kary bez modyfikacji.</w:t>
      </w:r>
    </w:p>
    <w:p w14:paraId="233FA9CB" w14:textId="77777777" w:rsidR="000D46E1" w:rsidRPr="00AC3A7B" w:rsidRDefault="000D46E1" w:rsidP="000D46E1">
      <w:pPr>
        <w:spacing w:after="0" w:line="240" w:lineRule="auto"/>
        <w:jc w:val="both"/>
        <w:rPr>
          <w:rFonts w:ascii="Times New Roman" w:eastAsia="Times New Roman" w:hAnsi="Times New Roman" w:cs="Times New Roman"/>
          <w:kern w:val="0"/>
          <w:sz w:val="22"/>
          <w:szCs w:val="22"/>
          <w:lang w:eastAsia="pl-PL"/>
          <w14:ligatures w14:val="none"/>
        </w:rPr>
      </w:pPr>
    </w:p>
    <w:p w14:paraId="1EA3DC98" w14:textId="1A039235" w:rsidR="00AC3A7B" w:rsidRPr="009D69D1" w:rsidRDefault="00AC3A7B" w:rsidP="000D46E1">
      <w:pPr>
        <w:pStyle w:val="Akapitzlist"/>
        <w:numPr>
          <w:ilvl w:val="0"/>
          <w:numId w:val="3"/>
        </w:numPr>
        <w:spacing w:after="0" w:line="240" w:lineRule="auto"/>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Czy Zamawiający wyraża zgodę na otrzymywanie faktur poprzez serwis internetowy Wykonawcy?</w:t>
      </w:r>
    </w:p>
    <w:p w14:paraId="0134765A" w14:textId="77777777" w:rsidR="009D69D1" w:rsidRDefault="00AC3A7B" w:rsidP="000D46E1">
      <w:pPr>
        <w:spacing w:after="0" w:line="240" w:lineRule="auto"/>
        <w:jc w:val="both"/>
        <w:rPr>
          <w:rFonts w:ascii="Times New Roman" w:eastAsia="Times New Roman" w:hAnsi="Times New Roman" w:cs="Times New Roman"/>
          <w:kern w:val="0"/>
          <w:sz w:val="22"/>
          <w:szCs w:val="22"/>
          <w:lang w:eastAsia="pl-PL"/>
          <w14:ligatures w14:val="none"/>
        </w:rPr>
      </w:pPr>
      <w:r w:rsidRPr="00AC3A7B">
        <w:rPr>
          <w:rFonts w:ascii="Times New Roman" w:eastAsia="Times New Roman" w:hAnsi="Times New Roman" w:cs="Times New Roman"/>
          <w:kern w:val="0"/>
          <w:sz w:val="22"/>
          <w:szCs w:val="22"/>
          <w:lang w:eastAsia="pl-PL"/>
          <w14:ligatures w14:val="none"/>
        </w:rPr>
        <w:t xml:space="preserve">Wykonawca wyjaśnia, poprzez zalogowanie się na serwis internetowy Wykonawcy, Zamawiający ma również możliwość między innymi do: </w:t>
      </w:r>
    </w:p>
    <w:p w14:paraId="22CD8F08" w14:textId="77777777" w:rsidR="009D69D1" w:rsidRDefault="00AC3A7B" w:rsidP="000D46E1">
      <w:pPr>
        <w:pStyle w:val="Akapitzlist"/>
        <w:numPr>
          <w:ilvl w:val="0"/>
          <w:numId w:val="4"/>
        </w:numPr>
        <w:spacing w:after="0" w:line="240" w:lineRule="auto"/>
        <w:ind w:left="426"/>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przeglądu informacji o aktualnych i archiwalnych rozliczeniach wynikających z realizacji Umow</w:t>
      </w:r>
      <w:r w:rsidR="009D69D1">
        <w:rPr>
          <w:rFonts w:ascii="Times New Roman" w:eastAsia="Times New Roman" w:hAnsi="Times New Roman" w:cs="Times New Roman"/>
          <w:kern w:val="0"/>
          <w:sz w:val="22"/>
          <w:szCs w:val="22"/>
          <w:lang w:eastAsia="pl-PL"/>
          <w14:ligatures w14:val="none"/>
        </w:rPr>
        <w:t>y,</w:t>
      </w:r>
    </w:p>
    <w:p w14:paraId="4C8B8BDE" w14:textId="77777777" w:rsidR="009D69D1" w:rsidRDefault="00AC3A7B" w:rsidP="000D46E1">
      <w:pPr>
        <w:pStyle w:val="Akapitzlist"/>
        <w:numPr>
          <w:ilvl w:val="0"/>
          <w:numId w:val="4"/>
        </w:numPr>
        <w:spacing w:after="0" w:line="240" w:lineRule="auto"/>
        <w:ind w:left="426"/>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bieżącego monitorowania historii zużycia paliwa gazowego,</w:t>
      </w:r>
    </w:p>
    <w:p w14:paraId="44D6C9DB" w14:textId="77777777" w:rsidR="009D69D1" w:rsidRDefault="00AC3A7B" w:rsidP="000D46E1">
      <w:pPr>
        <w:pStyle w:val="Akapitzlist"/>
        <w:numPr>
          <w:ilvl w:val="0"/>
          <w:numId w:val="4"/>
        </w:numPr>
        <w:spacing w:after="0" w:line="240" w:lineRule="auto"/>
        <w:ind w:left="426"/>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sprawdzenia aktualnego zamówienia paliwa gazowego w bieżącym roku gazowym,</w:t>
      </w:r>
    </w:p>
    <w:p w14:paraId="7791CE2C" w14:textId="77777777" w:rsidR="009D69D1" w:rsidRDefault="00AC3A7B" w:rsidP="000D46E1">
      <w:pPr>
        <w:pStyle w:val="Akapitzlist"/>
        <w:numPr>
          <w:ilvl w:val="0"/>
          <w:numId w:val="4"/>
        </w:numPr>
        <w:spacing w:after="0" w:line="240" w:lineRule="auto"/>
        <w:ind w:left="426"/>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podglądu faktur,</w:t>
      </w:r>
    </w:p>
    <w:p w14:paraId="17717572" w14:textId="77777777" w:rsidR="009D69D1" w:rsidRDefault="00AC3A7B" w:rsidP="000D46E1">
      <w:pPr>
        <w:pStyle w:val="Akapitzlist"/>
        <w:numPr>
          <w:ilvl w:val="0"/>
          <w:numId w:val="4"/>
        </w:numPr>
        <w:spacing w:after="0" w:line="240" w:lineRule="auto"/>
        <w:ind w:left="426"/>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przekazania poprzez formularz kontaktowy reklamacji, uwag, wniosków, co do których Umowa nie zastrzega formy szczególnej,</w:t>
      </w:r>
    </w:p>
    <w:p w14:paraId="5FC27745" w14:textId="0E48BC6E" w:rsidR="00AC3A7B" w:rsidRPr="009D69D1" w:rsidRDefault="00AC3A7B" w:rsidP="000D46E1">
      <w:pPr>
        <w:pStyle w:val="Akapitzlist"/>
        <w:numPr>
          <w:ilvl w:val="0"/>
          <w:numId w:val="4"/>
        </w:numPr>
        <w:spacing w:after="0" w:line="240" w:lineRule="auto"/>
        <w:ind w:left="426"/>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przekazania wartości odczytu dla punktów poboru gazu o mocy umownej do 110 kWh/h.</w:t>
      </w:r>
    </w:p>
    <w:p w14:paraId="2B321D14" w14:textId="77777777" w:rsidR="00DD7CC4" w:rsidRDefault="00AC3A7B" w:rsidP="00DD7CC4">
      <w:pPr>
        <w:spacing w:after="100" w:afterAutospacing="1" w:line="240" w:lineRule="auto"/>
        <w:jc w:val="both"/>
        <w:rPr>
          <w:rFonts w:ascii="Times New Roman" w:eastAsia="Times New Roman" w:hAnsi="Times New Roman" w:cs="Times New Roman"/>
          <w:kern w:val="0"/>
          <w:sz w:val="22"/>
          <w:szCs w:val="22"/>
          <w:lang w:eastAsia="pl-PL"/>
          <w14:ligatures w14:val="none"/>
        </w:rPr>
      </w:pPr>
      <w:r w:rsidRPr="00185B3B">
        <w:rPr>
          <w:rFonts w:ascii="Times New Roman" w:eastAsia="Times New Roman" w:hAnsi="Times New Roman" w:cs="Times New Roman"/>
          <w:kern w:val="0"/>
          <w:sz w:val="22"/>
          <w:szCs w:val="22"/>
          <w:lang w:eastAsia="pl-PL"/>
          <w14:ligatures w14:val="none"/>
        </w:rPr>
        <w:t>Odpowiedź na pytanie nr 3:</w:t>
      </w:r>
      <w:r w:rsidR="00DD7CC4">
        <w:rPr>
          <w:rFonts w:ascii="Times New Roman" w:eastAsia="Times New Roman" w:hAnsi="Times New Roman" w:cs="Times New Roman"/>
          <w:kern w:val="0"/>
          <w:sz w:val="22"/>
          <w:szCs w:val="22"/>
          <w:lang w:eastAsia="pl-PL"/>
          <w14:ligatures w14:val="none"/>
        </w:rPr>
        <w:t xml:space="preserve"> </w:t>
      </w:r>
      <w:r w:rsidR="00DD7CC4" w:rsidRPr="00DD7CC4">
        <w:rPr>
          <w:rFonts w:ascii="Times New Roman" w:eastAsia="Times New Roman" w:hAnsi="Times New Roman" w:cs="Times New Roman"/>
          <w:kern w:val="0"/>
          <w:sz w:val="22"/>
          <w:szCs w:val="22"/>
          <w:lang w:eastAsia="pl-PL"/>
          <w14:ligatures w14:val="none"/>
        </w:rPr>
        <w:t>Zamawiający informuje, że dla Odbiorców:</w:t>
      </w:r>
      <w:r w:rsidR="00DD7CC4">
        <w:rPr>
          <w:rFonts w:ascii="Times New Roman" w:eastAsia="Times New Roman" w:hAnsi="Times New Roman" w:cs="Times New Roman"/>
          <w:kern w:val="0"/>
          <w:sz w:val="22"/>
          <w:szCs w:val="22"/>
          <w:lang w:eastAsia="pl-PL"/>
          <w14:ligatures w14:val="none"/>
        </w:rPr>
        <w:t xml:space="preserve"> </w:t>
      </w:r>
    </w:p>
    <w:p w14:paraId="351C5996" w14:textId="77777777" w:rsidR="00DD7CC4" w:rsidRDefault="00DD7CC4" w:rsidP="00DD7CC4">
      <w:pPr>
        <w:pStyle w:val="Akapitzlist"/>
        <w:numPr>
          <w:ilvl w:val="0"/>
          <w:numId w:val="5"/>
        </w:num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Pr>
          <w:rFonts w:ascii="Times New Roman" w:eastAsia="Times New Roman" w:hAnsi="Times New Roman" w:cs="Times New Roman"/>
          <w:kern w:val="0"/>
          <w:sz w:val="22"/>
          <w:szCs w:val="22"/>
          <w:lang w:eastAsia="pl-PL"/>
          <w14:ligatures w14:val="none"/>
        </w:rPr>
        <w:lastRenderedPageBreak/>
        <w:t>Powiatowego Centrum Usług Wspólnych w Rawiczu,</w:t>
      </w:r>
    </w:p>
    <w:p w14:paraId="0444D885" w14:textId="234FFA06" w:rsidR="00DD7CC4" w:rsidRDefault="00DD7CC4" w:rsidP="00DD7CC4">
      <w:pPr>
        <w:pStyle w:val="Akapitzlist"/>
        <w:numPr>
          <w:ilvl w:val="0"/>
          <w:numId w:val="5"/>
        </w:num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DD7CC4">
        <w:rPr>
          <w:rFonts w:ascii="Times New Roman" w:eastAsia="Times New Roman" w:hAnsi="Times New Roman" w:cs="Times New Roman"/>
          <w:kern w:val="0"/>
          <w:sz w:val="22"/>
          <w:szCs w:val="22"/>
          <w:lang w:eastAsia="pl-PL"/>
          <w14:ligatures w14:val="none"/>
        </w:rPr>
        <w:t xml:space="preserve"> </w:t>
      </w:r>
      <w:r>
        <w:rPr>
          <w:rFonts w:ascii="Times New Roman" w:eastAsia="Times New Roman" w:hAnsi="Times New Roman" w:cs="Times New Roman"/>
          <w:kern w:val="0"/>
          <w:sz w:val="22"/>
          <w:szCs w:val="22"/>
          <w:lang w:eastAsia="pl-PL"/>
          <w14:ligatures w14:val="none"/>
        </w:rPr>
        <w:t>Zespołu Szkół Zawodowych w Rawiczu,</w:t>
      </w:r>
    </w:p>
    <w:p w14:paraId="427CB76C" w14:textId="430E305F" w:rsidR="00DD7CC4" w:rsidRDefault="00DD7CC4" w:rsidP="00DD7CC4">
      <w:pPr>
        <w:pStyle w:val="Akapitzlist"/>
        <w:numPr>
          <w:ilvl w:val="0"/>
          <w:numId w:val="5"/>
        </w:num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Pr>
          <w:rFonts w:ascii="Times New Roman" w:eastAsia="Times New Roman" w:hAnsi="Times New Roman" w:cs="Times New Roman"/>
          <w:kern w:val="0"/>
          <w:sz w:val="22"/>
          <w:szCs w:val="22"/>
          <w:lang w:eastAsia="pl-PL"/>
          <w14:ligatures w14:val="none"/>
        </w:rPr>
        <w:t>Zespołu Szkół Specjalnych w Rawiczu,</w:t>
      </w:r>
    </w:p>
    <w:p w14:paraId="323FC913" w14:textId="0863A380" w:rsidR="00DD7CC4" w:rsidRDefault="00DD7CC4" w:rsidP="00DD7CC4">
      <w:pPr>
        <w:pStyle w:val="Akapitzlist"/>
        <w:numPr>
          <w:ilvl w:val="0"/>
          <w:numId w:val="5"/>
        </w:num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Pr>
          <w:rFonts w:ascii="Times New Roman" w:eastAsia="Times New Roman" w:hAnsi="Times New Roman" w:cs="Times New Roman"/>
          <w:kern w:val="0"/>
          <w:sz w:val="22"/>
          <w:szCs w:val="22"/>
          <w:lang w:eastAsia="pl-PL"/>
          <w14:ligatures w14:val="none"/>
        </w:rPr>
        <w:t xml:space="preserve">Starostwa Powiatowego w Rawiczu dla punktu poboru PPG: </w:t>
      </w:r>
      <w:r w:rsidRPr="00DD7CC4">
        <w:rPr>
          <w:rFonts w:ascii="Times New Roman" w:eastAsia="Times New Roman" w:hAnsi="Times New Roman" w:cs="Times New Roman"/>
          <w:kern w:val="0"/>
          <w:sz w:val="22"/>
          <w:szCs w:val="22"/>
          <w:lang w:eastAsia="pl-PL"/>
          <w14:ligatures w14:val="none"/>
        </w:rPr>
        <w:t>8018590365500052782362</w:t>
      </w:r>
    </w:p>
    <w:p w14:paraId="34753495" w14:textId="2EA17CFE" w:rsidR="00AC3A7B" w:rsidRPr="00DD7CC4" w:rsidRDefault="00DD7CC4" w:rsidP="00DD7CC4">
      <w:p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DD7CC4">
        <w:rPr>
          <w:rFonts w:ascii="Times New Roman" w:eastAsia="Times New Roman" w:hAnsi="Times New Roman" w:cs="Times New Roman"/>
          <w:kern w:val="0"/>
          <w:sz w:val="22"/>
          <w:szCs w:val="22"/>
          <w:lang w:eastAsia="pl-PL"/>
          <w14:ligatures w14:val="none"/>
        </w:rPr>
        <w:t>faktury winny być wystawiane papierowo i dostarczane na adres odbiorcy podany w załączniku nr 1 do SWZ. Natomiast pozostali zamawiający wyrażają zgodę na korzystanie na otrzymywanie faktur poprzez serwis wykonawcy."</w:t>
      </w:r>
    </w:p>
    <w:p w14:paraId="7AAF417C" w14:textId="77777777" w:rsidR="009D69D1" w:rsidRDefault="00AC3A7B" w:rsidP="000D46E1">
      <w:pPr>
        <w:pStyle w:val="Akapitzlist"/>
        <w:numPr>
          <w:ilvl w:val="0"/>
          <w:numId w:val="3"/>
        </w:numPr>
        <w:autoSpaceDN w:val="0"/>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Czy Zamawiający będzie sam kontrolował wartość umowy? Czy w przypadku jej przekroczenia, Zamawiający zapłaci za rzeczywiste zużycie paliwa gazowego?</w:t>
      </w:r>
    </w:p>
    <w:p w14:paraId="6CDC6071" w14:textId="54C7151E" w:rsidR="00AC3A7B" w:rsidRDefault="00AC3A7B" w:rsidP="000D46E1">
      <w:pPr>
        <w:pStyle w:val="Akapitzlist"/>
        <w:autoSpaceDN w:val="0"/>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Odpowiedź na pytanie nr 4: Zamawiający potwierdza, że sam będzie kontrolował wartość umowy, a w przypadku jej przekroczenia, zapłaci za rzeczywiste zużycie paliwa gazowego.</w:t>
      </w:r>
    </w:p>
    <w:p w14:paraId="5930CAFF" w14:textId="77777777" w:rsidR="009D69D1" w:rsidRPr="009D69D1" w:rsidRDefault="009D69D1" w:rsidP="000D46E1">
      <w:pPr>
        <w:pStyle w:val="Akapitzlist"/>
        <w:autoSpaceDN w:val="0"/>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p>
    <w:p w14:paraId="7D39C8BC" w14:textId="77777777" w:rsidR="009D69D1" w:rsidRDefault="00AC3A7B" w:rsidP="000D46E1">
      <w:pPr>
        <w:pStyle w:val="Akapitzlist"/>
        <w:numPr>
          <w:ilvl w:val="0"/>
          <w:numId w:val="3"/>
        </w:num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Czy w przypadku rozbieżności pomiędzy danymi w umowie przekazanymi przez Zamawianego odnośnie kwalifikacji danego punktu poboru paliwa gazowego do grupy taryfowej OSD, a danymi przekazanymi przez OSD za dany okres rozliczeniowy w trakcie obowiązywania umowy, czy Zamawiający wyraża zgodę, aby rozliczanie opłat dystrybucyjnych odbywało się na podstawie kwalifikacji do danej grupy taryfowej przez OSD w danym okresie rozliczeniowym?</w:t>
      </w:r>
    </w:p>
    <w:p w14:paraId="2C56E703" w14:textId="3DFC9B62" w:rsidR="00032BC2" w:rsidRDefault="00032BC2" w:rsidP="000D46E1">
      <w:pPr>
        <w:pStyle w:val="Akapitzlist"/>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 xml:space="preserve">Odpowiedź na pytanie nr 5: </w:t>
      </w:r>
      <w:r w:rsidR="000D46E1" w:rsidRPr="000D46E1">
        <w:rPr>
          <w:rFonts w:ascii="Times New Roman" w:eastAsia="Times New Roman" w:hAnsi="Times New Roman" w:cs="Times New Roman"/>
          <w:kern w:val="0"/>
          <w:sz w:val="22"/>
          <w:szCs w:val="22"/>
          <w:lang w:eastAsia="pl-PL"/>
          <w14:ligatures w14:val="none"/>
        </w:rPr>
        <w:t>Zamawiający wyraża zgodę, aby rozliczanie opłat dystrybucyjnych odbywało się na podstawie kwalifikacji do danej grupy taryfowej przez OSD w danym okresie rozliczeniowym</w:t>
      </w:r>
      <w:r w:rsidR="000D46E1">
        <w:rPr>
          <w:rFonts w:ascii="Times New Roman" w:eastAsia="Times New Roman" w:hAnsi="Times New Roman" w:cs="Times New Roman"/>
          <w:kern w:val="0"/>
          <w:sz w:val="22"/>
          <w:szCs w:val="22"/>
          <w:lang w:eastAsia="pl-PL"/>
          <w14:ligatures w14:val="none"/>
        </w:rPr>
        <w:t>.</w:t>
      </w:r>
    </w:p>
    <w:p w14:paraId="45C60526" w14:textId="77777777" w:rsidR="009D69D1" w:rsidRPr="009D69D1" w:rsidRDefault="009D69D1" w:rsidP="000D46E1">
      <w:pPr>
        <w:pStyle w:val="Akapitzlist"/>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p>
    <w:p w14:paraId="52E8EB2D" w14:textId="77777777" w:rsidR="009D69D1" w:rsidRDefault="00AC3A7B" w:rsidP="000D46E1">
      <w:pPr>
        <w:pStyle w:val="Akapitzlist"/>
        <w:numPr>
          <w:ilvl w:val="0"/>
          <w:numId w:val="3"/>
        </w:numPr>
        <w:autoSpaceDN w:val="0"/>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Czy Zamawiający będzie sam kontrolował wartość umowy? Czy w przypadku jej przekroczenia, Zamawiający zapłaci za rzeczywiste zużycie paliwa gazowego?</w:t>
      </w:r>
    </w:p>
    <w:p w14:paraId="1B2A74A3" w14:textId="5D4BC29D" w:rsidR="00032BC2" w:rsidRDefault="00032BC2" w:rsidP="000D46E1">
      <w:pPr>
        <w:pStyle w:val="Akapitzlist"/>
        <w:autoSpaceDN w:val="0"/>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Odpowiedź na pytanie nr 6: Zamawiający potwierdza, że sam będzie kontrolował wartość umowy, a w przypadku jej przekroczenia, zapłaci za rzeczywiste zużycie paliwa gazowego.</w:t>
      </w:r>
    </w:p>
    <w:p w14:paraId="581CA0A5" w14:textId="77777777" w:rsidR="009D69D1" w:rsidRPr="009D69D1" w:rsidRDefault="009D69D1" w:rsidP="000D46E1">
      <w:pPr>
        <w:pStyle w:val="Akapitzlist"/>
        <w:autoSpaceDN w:val="0"/>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p>
    <w:p w14:paraId="7F160039" w14:textId="77777777" w:rsidR="009D69D1" w:rsidRDefault="00AC3A7B" w:rsidP="000D46E1">
      <w:pPr>
        <w:pStyle w:val="Akapitzlist"/>
        <w:numPr>
          <w:ilvl w:val="0"/>
          <w:numId w:val="3"/>
        </w:num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Dotyczy wykazu punktów poboru. Proszę o weryfikację danych pod kątem poprawności wskazanych grup taryfowych dla PPG:</w:t>
      </w:r>
      <w:r w:rsidR="009D69D1">
        <w:rPr>
          <w:rFonts w:ascii="Times New Roman" w:eastAsia="Times New Roman" w:hAnsi="Times New Roman" w:cs="Times New Roman"/>
          <w:kern w:val="0"/>
          <w:sz w:val="22"/>
          <w:szCs w:val="22"/>
          <w:lang w:eastAsia="pl-PL"/>
          <w14:ligatures w14:val="none"/>
        </w:rPr>
        <w:t xml:space="preserve"> </w:t>
      </w:r>
      <w:r w:rsidRPr="009D69D1">
        <w:rPr>
          <w:rFonts w:ascii="Times New Roman" w:eastAsia="Times New Roman" w:hAnsi="Times New Roman" w:cs="Times New Roman"/>
          <w:kern w:val="0"/>
          <w:sz w:val="22"/>
          <w:szCs w:val="22"/>
          <w:lang w:eastAsia="pl-PL"/>
          <w14:ligatures w14:val="none"/>
        </w:rPr>
        <w:t>8018590365500043985468</w:t>
      </w:r>
      <w:r w:rsidR="009D69D1">
        <w:rPr>
          <w:rFonts w:ascii="Times New Roman" w:eastAsia="Times New Roman" w:hAnsi="Times New Roman" w:cs="Times New Roman"/>
          <w:kern w:val="0"/>
          <w:sz w:val="22"/>
          <w:szCs w:val="22"/>
          <w:lang w:eastAsia="pl-PL"/>
          <w14:ligatures w14:val="none"/>
        </w:rPr>
        <w:t xml:space="preserve">, </w:t>
      </w:r>
      <w:r w:rsidRPr="009D69D1">
        <w:rPr>
          <w:rFonts w:ascii="Times New Roman" w:eastAsia="Times New Roman" w:hAnsi="Times New Roman" w:cs="Times New Roman"/>
          <w:kern w:val="0"/>
          <w:sz w:val="22"/>
          <w:szCs w:val="22"/>
          <w:lang w:eastAsia="pl-PL"/>
          <w14:ligatures w14:val="none"/>
        </w:rPr>
        <w:t>8018590365500045469133</w:t>
      </w:r>
    </w:p>
    <w:p w14:paraId="3B08DCC0" w14:textId="731A3A7D" w:rsidR="00032BC2" w:rsidRDefault="00032BC2" w:rsidP="000D46E1">
      <w:pPr>
        <w:pStyle w:val="Akapitzlist"/>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r w:rsidRPr="009D69D1">
        <w:rPr>
          <w:rFonts w:ascii="Times New Roman" w:eastAsia="Times New Roman" w:hAnsi="Times New Roman" w:cs="Times New Roman"/>
          <w:kern w:val="0"/>
          <w:sz w:val="22"/>
          <w:szCs w:val="22"/>
          <w:lang w:eastAsia="pl-PL"/>
          <w14:ligatures w14:val="none"/>
        </w:rPr>
        <w:t xml:space="preserve">Odpowiedź na pytanie nr 7: </w:t>
      </w:r>
      <w:r w:rsidR="009D69D1" w:rsidRPr="009D69D1">
        <w:rPr>
          <w:rFonts w:ascii="Times New Roman" w:eastAsia="Times New Roman" w:hAnsi="Times New Roman" w:cs="Times New Roman"/>
          <w:kern w:val="0"/>
          <w:sz w:val="22"/>
          <w:szCs w:val="22"/>
          <w:lang w:eastAsia="pl-PL"/>
          <w14:ligatures w14:val="none"/>
        </w:rPr>
        <w:t>Przedmiot zamówienia został opracowany przez Zamawiającego z należytą starannością. Przedmiot zamówienia zgodny jest z danymi z bieżących faktur na podstawie, których został opracowany przedmiot zamówienia.</w:t>
      </w:r>
      <w:r w:rsidR="000D46E1">
        <w:rPr>
          <w:rFonts w:ascii="Times New Roman" w:eastAsia="Times New Roman" w:hAnsi="Times New Roman" w:cs="Times New Roman"/>
          <w:kern w:val="0"/>
          <w:sz w:val="22"/>
          <w:szCs w:val="22"/>
          <w:lang w:eastAsia="pl-PL"/>
          <w14:ligatures w14:val="none"/>
        </w:rPr>
        <w:t xml:space="preserve"> </w:t>
      </w:r>
      <w:r w:rsidR="005F7EAD">
        <w:rPr>
          <w:rFonts w:ascii="Times New Roman" w:eastAsia="Times New Roman" w:hAnsi="Times New Roman" w:cs="Times New Roman"/>
          <w:kern w:val="0"/>
          <w:sz w:val="22"/>
          <w:szCs w:val="22"/>
          <w:lang w:eastAsia="pl-PL"/>
          <w14:ligatures w14:val="none"/>
        </w:rPr>
        <w:t xml:space="preserve">Niemniej jednak w przypadku zmiany grupy taryfowej w trakcie, zamawiający wyraża zgodę na dostosowanie opłat </w:t>
      </w:r>
      <w:r w:rsidR="005F7EAD" w:rsidRPr="005F7EAD">
        <w:rPr>
          <w:rFonts w:ascii="Times New Roman" w:eastAsia="Times New Roman" w:hAnsi="Times New Roman" w:cs="Times New Roman"/>
          <w:kern w:val="0"/>
          <w:sz w:val="22"/>
          <w:szCs w:val="22"/>
          <w:lang w:eastAsia="pl-PL"/>
          <w14:ligatures w14:val="none"/>
        </w:rPr>
        <w:t>na podstawie kwalifikacji do danej grupy taryfowej przez OSD</w:t>
      </w:r>
      <w:r w:rsidR="005F7EAD">
        <w:rPr>
          <w:rFonts w:ascii="Times New Roman" w:eastAsia="Times New Roman" w:hAnsi="Times New Roman" w:cs="Times New Roman"/>
          <w:kern w:val="0"/>
          <w:sz w:val="22"/>
          <w:szCs w:val="22"/>
          <w:lang w:eastAsia="pl-PL"/>
          <w14:ligatures w14:val="none"/>
        </w:rPr>
        <w:t>.</w:t>
      </w:r>
    </w:p>
    <w:p w14:paraId="4D89C46D" w14:textId="77777777" w:rsidR="00FF664A" w:rsidRPr="009D69D1" w:rsidRDefault="00FF664A" w:rsidP="000D46E1">
      <w:pPr>
        <w:pStyle w:val="Akapitzlist"/>
        <w:spacing w:before="100" w:beforeAutospacing="1" w:after="100" w:afterAutospacing="1" w:line="240" w:lineRule="auto"/>
        <w:ind w:left="0"/>
        <w:jc w:val="both"/>
        <w:rPr>
          <w:rFonts w:ascii="Times New Roman" w:eastAsia="Times New Roman" w:hAnsi="Times New Roman" w:cs="Times New Roman"/>
          <w:kern w:val="0"/>
          <w:sz w:val="22"/>
          <w:szCs w:val="22"/>
          <w:lang w:eastAsia="pl-PL"/>
          <w14:ligatures w14:val="none"/>
        </w:rPr>
      </w:pPr>
    </w:p>
    <w:p w14:paraId="744F4420" w14:textId="5597FFAF" w:rsidR="00741A43" w:rsidRPr="00FF664A" w:rsidRDefault="00FF664A" w:rsidP="00FF664A">
      <w:pPr>
        <w:spacing w:after="0" w:line="240" w:lineRule="auto"/>
        <w:ind w:left="4248"/>
        <w:jc w:val="center"/>
        <w:rPr>
          <w:rFonts w:ascii="Times New Roman" w:hAnsi="Times New Roman" w:cs="Times New Roman"/>
          <w:sz w:val="18"/>
          <w:szCs w:val="18"/>
        </w:rPr>
      </w:pPr>
      <w:r w:rsidRPr="00FF664A">
        <w:rPr>
          <w:rFonts w:ascii="Times New Roman" w:hAnsi="Times New Roman" w:cs="Times New Roman"/>
          <w:sz w:val="18"/>
          <w:szCs w:val="18"/>
        </w:rPr>
        <w:t>Dyrektor</w:t>
      </w:r>
      <w:r w:rsidRPr="00FF664A">
        <w:rPr>
          <w:rFonts w:ascii="Times New Roman" w:hAnsi="Times New Roman" w:cs="Times New Roman"/>
          <w:sz w:val="18"/>
          <w:szCs w:val="18"/>
        </w:rPr>
        <w:br/>
        <w:t>Powiatowego Centrum Usług</w:t>
      </w:r>
      <w:r w:rsidRPr="00FF664A">
        <w:rPr>
          <w:rFonts w:ascii="Times New Roman" w:hAnsi="Times New Roman" w:cs="Times New Roman"/>
          <w:sz w:val="18"/>
          <w:szCs w:val="18"/>
        </w:rPr>
        <w:br/>
        <w:t>Wspólnych w Rawiczu</w:t>
      </w:r>
    </w:p>
    <w:p w14:paraId="0BC40532" w14:textId="77777777" w:rsidR="00FF664A" w:rsidRPr="00FF664A" w:rsidRDefault="00FF664A" w:rsidP="00FF664A">
      <w:pPr>
        <w:spacing w:after="0" w:line="240" w:lineRule="auto"/>
        <w:ind w:left="4248"/>
        <w:jc w:val="center"/>
        <w:rPr>
          <w:rFonts w:ascii="Times New Roman" w:hAnsi="Times New Roman" w:cs="Times New Roman"/>
          <w:sz w:val="18"/>
          <w:szCs w:val="18"/>
        </w:rPr>
      </w:pPr>
    </w:p>
    <w:p w14:paraId="745E53C9" w14:textId="4E72F909" w:rsidR="00FF664A" w:rsidRPr="00FF664A" w:rsidRDefault="00FF664A" w:rsidP="00FF664A">
      <w:pPr>
        <w:spacing w:after="0" w:line="240" w:lineRule="auto"/>
        <w:ind w:left="4248"/>
        <w:jc w:val="center"/>
        <w:rPr>
          <w:rFonts w:ascii="Times New Roman" w:hAnsi="Times New Roman" w:cs="Times New Roman"/>
          <w:sz w:val="18"/>
          <w:szCs w:val="18"/>
        </w:rPr>
      </w:pPr>
      <w:r w:rsidRPr="00FF664A">
        <w:rPr>
          <w:rFonts w:ascii="Times New Roman" w:hAnsi="Times New Roman" w:cs="Times New Roman"/>
          <w:sz w:val="18"/>
          <w:szCs w:val="18"/>
        </w:rPr>
        <w:t>(-) Urszula Stefaniak</w:t>
      </w:r>
    </w:p>
    <w:sectPr w:rsidR="00FF664A" w:rsidRPr="00FF66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E9E6B" w14:textId="77777777" w:rsidR="00A84926" w:rsidRDefault="00A84926" w:rsidP="00741A43">
      <w:pPr>
        <w:spacing w:after="0" w:line="240" w:lineRule="auto"/>
      </w:pPr>
      <w:r>
        <w:separator/>
      </w:r>
    </w:p>
  </w:endnote>
  <w:endnote w:type="continuationSeparator" w:id="0">
    <w:p w14:paraId="68CB8309" w14:textId="77777777" w:rsidR="00A84926" w:rsidRDefault="00A84926" w:rsidP="00741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04CF1" w14:textId="77777777" w:rsidR="00A84926" w:rsidRDefault="00A84926" w:rsidP="00741A43">
      <w:pPr>
        <w:spacing w:after="0" w:line="240" w:lineRule="auto"/>
      </w:pPr>
      <w:r>
        <w:separator/>
      </w:r>
    </w:p>
  </w:footnote>
  <w:footnote w:type="continuationSeparator" w:id="0">
    <w:p w14:paraId="4BB82FA8" w14:textId="77777777" w:rsidR="00A84926" w:rsidRDefault="00A84926" w:rsidP="00741A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92B53"/>
    <w:multiLevelType w:val="hybridMultilevel"/>
    <w:tmpl w:val="897842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AC20FCF"/>
    <w:multiLevelType w:val="hybridMultilevel"/>
    <w:tmpl w:val="DF903352"/>
    <w:lvl w:ilvl="0" w:tplc="0415000F">
      <w:start w:val="1"/>
      <w:numFmt w:val="decimal"/>
      <w:lvlText w:val="%1."/>
      <w:lvlJc w:val="left"/>
      <w:pPr>
        <w:ind w:left="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 w15:restartNumberingAfterBreak="0">
    <w:nsid w:val="398A2C4A"/>
    <w:multiLevelType w:val="hybridMultilevel"/>
    <w:tmpl w:val="B29A6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FA47F7E"/>
    <w:multiLevelType w:val="hybridMultilevel"/>
    <w:tmpl w:val="85CC49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2542BC3"/>
    <w:multiLevelType w:val="hybridMultilevel"/>
    <w:tmpl w:val="70DAC8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4098264">
    <w:abstractNumId w:val="3"/>
  </w:num>
  <w:num w:numId="2" w16cid:durableId="645360611">
    <w:abstractNumId w:val="4"/>
  </w:num>
  <w:num w:numId="3" w16cid:durableId="2047289158">
    <w:abstractNumId w:val="1"/>
  </w:num>
  <w:num w:numId="4" w16cid:durableId="1311326056">
    <w:abstractNumId w:val="2"/>
  </w:num>
  <w:num w:numId="5" w16cid:durableId="47340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EF2"/>
    <w:rsid w:val="00032BC2"/>
    <w:rsid w:val="000D46E1"/>
    <w:rsid w:val="00185B3B"/>
    <w:rsid w:val="00230A2D"/>
    <w:rsid w:val="002C56B1"/>
    <w:rsid w:val="00327B69"/>
    <w:rsid w:val="00446EF2"/>
    <w:rsid w:val="00470E5F"/>
    <w:rsid w:val="004854B7"/>
    <w:rsid w:val="004B4E08"/>
    <w:rsid w:val="004C6885"/>
    <w:rsid w:val="005E2637"/>
    <w:rsid w:val="005E2FEC"/>
    <w:rsid w:val="005F6D62"/>
    <w:rsid w:val="005F7EAD"/>
    <w:rsid w:val="00665F20"/>
    <w:rsid w:val="0069007F"/>
    <w:rsid w:val="00695D97"/>
    <w:rsid w:val="00741A43"/>
    <w:rsid w:val="007871AA"/>
    <w:rsid w:val="00832D6F"/>
    <w:rsid w:val="008B16E7"/>
    <w:rsid w:val="008B329B"/>
    <w:rsid w:val="008D3561"/>
    <w:rsid w:val="0091162B"/>
    <w:rsid w:val="00954A76"/>
    <w:rsid w:val="00960732"/>
    <w:rsid w:val="009D69D1"/>
    <w:rsid w:val="00A364C7"/>
    <w:rsid w:val="00A67043"/>
    <w:rsid w:val="00A84926"/>
    <w:rsid w:val="00AB12DB"/>
    <w:rsid w:val="00AC3A7B"/>
    <w:rsid w:val="00BE1FD3"/>
    <w:rsid w:val="00BE6B36"/>
    <w:rsid w:val="00C150D9"/>
    <w:rsid w:val="00D347F2"/>
    <w:rsid w:val="00DD7CC4"/>
    <w:rsid w:val="00E85762"/>
    <w:rsid w:val="00F169AF"/>
    <w:rsid w:val="00FF664A"/>
    <w:rsid w:val="00FF6A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2A777"/>
  <w15:chartTrackingRefBased/>
  <w15:docId w15:val="{9D0EFEEF-162E-46A8-A228-7802A100D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46E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46E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46EF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46EF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46EF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46EF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46EF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46EF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46EF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46EF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46EF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46EF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46EF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46EF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46EF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46EF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46EF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46EF2"/>
    <w:rPr>
      <w:rFonts w:eastAsiaTheme="majorEastAsia" w:cstheme="majorBidi"/>
      <w:color w:val="272727" w:themeColor="text1" w:themeTint="D8"/>
    </w:rPr>
  </w:style>
  <w:style w:type="paragraph" w:styleId="Tytu">
    <w:name w:val="Title"/>
    <w:basedOn w:val="Normalny"/>
    <w:next w:val="Normalny"/>
    <w:link w:val="TytuZnak"/>
    <w:uiPriority w:val="10"/>
    <w:qFormat/>
    <w:rsid w:val="00446E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46EF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46EF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46EF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46EF2"/>
    <w:pPr>
      <w:spacing w:before="160"/>
      <w:jc w:val="center"/>
    </w:pPr>
    <w:rPr>
      <w:i/>
      <w:iCs/>
      <w:color w:val="404040" w:themeColor="text1" w:themeTint="BF"/>
    </w:rPr>
  </w:style>
  <w:style w:type="character" w:customStyle="1" w:styleId="CytatZnak">
    <w:name w:val="Cytat Znak"/>
    <w:basedOn w:val="Domylnaczcionkaakapitu"/>
    <w:link w:val="Cytat"/>
    <w:uiPriority w:val="29"/>
    <w:rsid w:val="00446EF2"/>
    <w:rPr>
      <w:i/>
      <w:iCs/>
      <w:color w:val="404040" w:themeColor="text1" w:themeTint="BF"/>
    </w:rPr>
  </w:style>
  <w:style w:type="paragraph" w:styleId="Akapitzlist">
    <w:name w:val="List Paragraph"/>
    <w:aliases w:val="CW_Lista,Akapit z listą BS,normalny tekst,List Paragraph2,List Paragraph,maz_wyliczenie,opis dzialania,K-P_odwolanie,A_wyliczenie,Akapit z listą 1,L1,Numerowanie,Akapit z listą5,Nagłowek 3,Kolorowa lista — akcent 11,Dot pt,Preambuła,lp1"/>
    <w:basedOn w:val="Normalny"/>
    <w:link w:val="AkapitzlistZnak"/>
    <w:uiPriority w:val="34"/>
    <w:qFormat/>
    <w:rsid w:val="00446EF2"/>
    <w:pPr>
      <w:ind w:left="720"/>
      <w:contextualSpacing/>
    </w:pPr>
  </w:style>
  <w:style w:type="character" w:styleId="Wyrnienieintensywne">
    <w:name w:val="Intense Emphasis"/>
    <w:basedOn w:val="Domylnaczcionkaakapitu"/>
    <w:uiPriority w:val="21"/>
    <w:qFormat/>
    <w:rsid w:val="00446EF2"/>
    <w:rPr>
      <w:i/>
      <w:iCs/>
      <w:color w:val="0F4761" w:themeColor="accent1" w:themeShade="BF"/>
    </w:rPr>
  </w:style>
  <w:style w:type="paragraph" w:styleId="Cytatintensywny">
    <w:name w:val="Intense Quote"/>
    <w:basedOn w:val="Normalny"/>
    <w:next w:val="Normalny"/>
    <w:link w:val="CytatintensywnyZnak"/>
    <w:uiPriority w:val="30"/>
    <w:qFormat/>
    <w:rsid w:val="00446E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46EF2"/>
    <w:rPr>
      <w:i/>
      <w:iCs/>
      <w:color w:val="0F4761" w:themeColor="accent1" w:themeShade="BF"/>
    </w:rPr>
  </w:style>
  <w:style w:type="character" w:styleId="Odwoanieintensywne">
    <w:name w:val="Intense Reference"/>
    <w:basedOn w:val="Domylnaczcionkaakapitu"/>
    <w:uiPriority w:val="32"/>
    <w:qFormat/>
    <w:rsid w:val="00446EF2"/>
    <w:rPr>
      <w:b/>
      <w:bCs/>
      <w:smallCaps/>
      <w:color w:val="0F4761" w:themeColor="accent1" w:themeShade="BF"/>
      <w:spacing w:val="5"/>
    </w:rPr>
  </w:style>
  <w:style w:type="paragraph" w:styleId="Nagwek">
    <w:name w:val="header"/>
    <w:basedOn w:val="Normalny"/>
    <w:link w:val="NagwekZnak"/>
    <w:uiPriority w:val="99"/>
    <w:unhideWhenUsed/>
    <w:rsid w:val="00741A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1A43"/>
  </w:style>
  <w:style w:type="paragraph" w:styleId="Stopka">
    <w:name w:val="footer"/>
    <w:basedOn w:val="Normalny"/>
    <w:link w:val="StopkaZnak"/>
    <w:uiPriority w:val="99"/>
    <w:unhideWhenUsed/>
    <w:rsid w:val="00741A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1A43"/>
  </w:style>
  <w:style w:type="paragraph" w:styleId="Tekstprzypisukocowego">
    <w:name w:val="endnote text"/>
    <w:basedOn w:val="Normalny"/>
    <w:link w:val="TekstprzypisukocowegoZnak"/>
    <w:uiPriority w:val="99"/>
    <w:semiHidden/>
    <w:unhideWhenUsed/>
    <w:rsid w:val="00741A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1A43"/>
    <w:rPr>
      <w:sz w:val="20"/>
      <w:szCs w:val="20"/>
    </w:rPr>
  </w:style>
  <w:style w:type="character" w:styleId="Odwoanieprzypisukocowego">
    <w:name w:val="endnote reference"/>
    <w:basedOn w:val="Domylnaczcionkaakapitu"/>
    <w:uiPriority w:val="99"/>
    <w:semiHidden/>
    <w:unhideWhenUsed/>
    <w:rsid w:val="00741A43"/>
    <w:rPr>
      <w:vertAlign w:val="superscript"/>
    </w:rPr>
  </w:style>
  <w:style w:type="character" w:customStyle="1" w:styleId="AkapitzlistZnak">
    <w:name w:val="Akapit z listą Znak"/>
    <w:aliases w:val="CW_Lista Znak,Akapit z listą BS Znak,normalny tekst Znak,List Paragraph2 Znak,List Paragraph Znak,maz_wyliczenie Znak,opis dzialania Znak,K-P_odwolanie Znak,A_wyliczenie Znak,Akapit z listą 1 Znak,L1 Znak,Numerowanie Znak,Dot pt Znak"/>
    <w:link w:val="Akapitzlist"/>
    <w:uiPriority w:val="34"/>
    <w:qFormat/>
    <w:locked/>
    <w:rsid w:val="004B4E08"/>
  </w:style>
  <w:style w:type="character" w:styleId="Odwoaniedokomentarza">
    <w:name w:val="annotation reference"/>
    <w:basedOn w:val="Domylnaczcionkaakapitu"/>
    <w:uiPriority w:val="99"/>
    <w:semiHidden/>
    <w:unhideWhenUsed/>
    <w:rsid w:val="004B4E08"/>
    <w:rPr>
      <w:sz w:val="16"/>
      <w:szCs w:val="16"/>
    </w:rPr>
  </w:style>
  <w:style w:type="paragraph" w:styleId="Tekstkomentarza">
    <w:name w:val="annotation text"/>
    <w:basedOn w:val="Normalny"/>
    <w:link w:val="TekstkomentarzaZnak"/>
    <w:uiPriority w:val="99"/>
    <w:unhideWhenUsed/>
    <w:rsid w:val="004B4E08"/>
    <w:pPr>
      <w:spacing w:line="240" w:lineRule="auto"/>
    </w:pPr>
    <w:rPr>
      <w:sz w:val="20"/>
      <w:szCs w:val="20"/>
    </w:rPr>
  </w:style>
  <w:style w:type="character" w:customStyle="1" w:styleId="TekstkomentarzaZnak">
    <w:name w:val="Tekst komentarza Znak"/>
    <w:basedOn w:val="Domylnaczcionkaakapitu"/>
    <w:link w:val="Tekstkomentarza"/>
    <w:uiPriority w:val="99"/>
    <w:rsid w:val="004B4E08"/>
    <w:rPr>
      <w:sz w:val="20"/>
      <w:szCs w:val="20"/>
    </w:rPr>
  </w:style>
  <w:style w:type="paragraph" w:styleId="Tematkomentarza">
    <w:name w:val="annotation subject"/>
    <w:basedOn w:val="Tekstkomentarza"/>
    <w:next w:val="Tekstkomentarza"/>
    <w:link w:val="TematkomentarzaZnak"/>
    <w:uiPriority w:val="99"/>
    <w:semiHidden/>
    <w:unhideWhenUsed/>
    <w:rsid w:val="004B4E08"/>
    <w:rPr>
      <w:b/>
      <w:bCs/>
    </w:rPr>
  </w:style>
  <w:style w:type="character" w:customStyle="1" w:styleId="TematkomentarzaZnak">
    <w:name w:val="Temat komentarza Znak"/>
    <w:basedOn w:val="TekstkomentarzaZnak"/>
    <w:link w:val="Tematkomentarza"/>
    <w:uiPriority w:val="99"/>
    <w:semiHidden/>
    <w:rsid w:val="004B4E08"/>
    <w:rPr>
      <w:b/>
      <w:bCs/>
      <w:sz w:val="20"/>
      <w:szCs w:val="20"/>
    </w:rPr>
  </w:style>
  <w:style w:type="character" w:styleId="Hipercze">
    <w:name w:val="Hyperlink"/>
    <w:basedOn w:val="Domylnaczcionkaakapitu"/>
    <w:uiPriority w:val="99"/>
    <w:unhideWhenUsed/>
    <w:rsid w:val="00230A2D"/>
    <w:rPr>
      <w:color w:val="467886" w:themeColor="hyperlink"/>
      <w:u w:val="single"/>
    </w:rPr>
  </w:style>
  <w:style w:type="character" w:styleId="Nierozpoznanawzmianka">
    <w:name w:val="Unresolved Mention"/>
    <w:basedOn w:val="Domylnaczcionkaakapitu"/>
    <w:uiPriority w:val="99"/>
    <w:semiHidden/>
    <w:unhideWhenUsed/>
    <w:rsid w:val="00230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196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779</Words>
  <Characters>4677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Enmedia</dc:creator>
  <cp:keywords/>
  <dc:description/>
  <cp:lastModifiedBy>Gabriela Kotlarczyk</cp:lastModifiedBy>
  <cp:revision>6</cp:revision>
  <dcterms:created xsi:type="dcterms:W3CDTF">2024-10-01T11:44:00Z</dcterms:created>
  <dcterms:modified xsi:type="dcterms:W3CDTF">2024-10-02T07:29:00Z</dcterms:modified>
</cp:coreProperties>
</file>